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TÍTULO DE LA CONFERENCIA/PONENCIA EN ESPAÑOL</w:t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Title of the conference/presentation in English</w:t>
      </w:r>
    </w:p>
    <w:p w:rsidR="00000000" w:rsidDel="00000000" w:rsidP="00000000" w:rsidRDefault="00000000" w:rsidRPr="00000000" w14:paraId="00000003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Título da conferência/apresentação em português</w:t>
      </w:r>
    </w:p>
    <w:p w:rsidR="00000000" w:rsidDel="00000000" w:rsidP="00000000" w:rsidRDefault="00000000" w:rsidRPr="00000000" w14:paraId="00000004">
      <w:pPr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Nombres y apellidos primer autor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Nombres y apellidos segundo autor</w:t>
      </w:r>
      <w:r w:rsidDel="00000000" w:rsidR="00000000" w:rsidRPr="00000000">
        <w:rPr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Nombres y apellidos tercer autor</w:t>
      </w:r>
      <w:r w:rsidDel="00000000" w:rsidR="00000000" w:rsidRPr="00000000">
        <w:rPr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RESUMEN</w:t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En esta sección se deberá presentar un resumen ejecutivo de la conferencia/ponencia. No exceder las 150 palabras.</w:t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Palabras clave</w:t>
      </w:r>
      <w:r w:rsidDel="00000000" w:rsidR="00000000" w:rsidRPr="00000000">
        <w:rPr>
          <w:vertAlign w:val="baseline"/>
          <w:rtl w:val="0"/>
        </w:rPr>
        <w:t xml:space="preserve">: Colocar máximo 5 descriptores que </w:t>
      </w:r>
      <w:r w:rsidDel="00000000" w:rsidR="00000000" w:rsidRPr="00000000">
        <w:rPr>
          <w:rtl w:val="0"/>
        </w:rPr>
        <w:t xml:space="preserve">identifican</w:t>
      </w:r>
      <w:r w:rsidDel="00000000" w:rsidR="00000000" w:rsidRPr="00000000">
        <w:rPr>
          <w:vertAlign w:val="baseline"/>
          <w:rtl w:val="0"/>
        </w:rPr>
        <w:t xml:space="preserve"> la conferencia/ponencia.</w:t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ABSTRACT</w:t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This section should include an executive summary of the conference/presentation. It should not exceed 150 words.</w:t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Keywords</w:t>
      </w:r>
      <w:r w:rsidDel="00000000" w:rsidR="00000000" w:rsidRPr="00000000">
        <w:rPr>
          <w:vertAlign w:val="baseline"/>
          <w:rtl w:val="0"/>
        </w:rPr>
        <w:t xml:space="preserve">: Place a maximum of 5 descriptors that identify the conference/presentation.</w:t>
      </w:r>
    </w:p>
    <w:p w:rsidR="00000000" w:rsidDel="00000000" w:rsidP="00000000" w:rsidRDefault="00000000" w:rsidRPr="00000000" w14:paraId="0000000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RESUMO</w:t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Nesta seção, um resumo executivo da conferência/apresentação deve ser apresentado. Não exceda 150 palavras.</w:t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Palavras-chave</w:t>
      </w:r>
      <w:r w:rsidDel="00000000" w:rsidR="00000000" w:rsidRPr="00000000">
        <w:rPr>
          <w:vertAlign w:val="baseline"/>
          <w:rtl w:val="0"/>
        </w:rPr>
        <w:t xml:space="preserve">: Coloque no máximo 5 descritores que identifiquem a conferência/apresentação.</w:t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INTRODUCCIÓN</w:t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En esta sección se realiza la presentación de la conferencia/conferencia.</w:t>
      </w:r>
    </w:p>
    <w:p w:rsidR="00000000" w:rsidDel="00000000" w:rsidP="00000000" w:rsidRDefault="00000000" w:rsidRPr="00000000" w14:paraId="0000001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FUNDAMENTO TEÓRICO</w:t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Descripción de los conceptos, enfoques y autores que orientan la conferencia/ponencia.</w:t>
      </w:r>
    </w:p>
    <w:p w:rsidR="00000000" w:rsidDel="00000000" w:rsidP="00000000" w:rsidRDefault="00000000" w:rsidRPr="00000000" w14:paraId="0000001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Subtítulo 1</w:t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Subtítulo 2</w:t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METODOLOGÍA</w:t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Descripción del diseño de la conferencia/ponencia, el tipo de información recolectada, las fuentes de la misma, así como las técnicas utilizadas para la recolección y análisis de la información.</w:t>
      </w:r>
    </w:p>
    <w:p w:rsidR="00000000" w:rsidDel="00000000" w:rsidP="00000000" w:rsidRDefault="00000000" w:rsidRPr="00000000" w14:paraId="0000001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RESULTADOS</w:t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Presentación del detalle de los hallazgos de su conferencia/investigación. Si </w:t>
      </w:r>
      <w:r w:rsidDel="00000000" w:rsidR="00000000" w:rsidRPr="00000000">
        <w:rPr>
          <w:rtl w:val="0"/>
        </w:rPr>
        <w:t xml:space="preserve">se añaden</w:t>
      </w:r>
      <w:r w:rsidDel="00000000" w:rsidR="00000000" w:rsidRPr="00000000">
        <w:rPr>
          <w:vertAlign w:val="baseline"/>
          <w:rtl w:val="0"/>
        </w:rPr>
        <w:t xml:space="preserve"> cuadros, tablas o gráficos, establecer la fuente y la fecha de captura de información.</w:t>
      </w:r>
    </w:p>
    <w:p w:rsidR="00000000" w:rsidDel="00000000" w:rsidP="00000000" w:rsidRDefault="00000000" w:rsidRPr="00000000" w14:paraId="0000001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CONCLUSIONES Y DISCUSIÓN</w:t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Presentación de las conclusiones y discusión de los resultados y contribuciones, así como las limitaciones y campos futuros de investigación.</w:t>
      </w:r>
    </w:p>
    <w:p w:rsidR="00000000" w:rsidDel="00000000" w:rsidP="00000000" w:rsidRDefault="00000000" w:rsidRPr="00000000" w14:paraId="0000001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REFERENCIAS</w:t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Ejemplo de presentación de bibliografía:</w:t>
      </w:r>
    </w:p>
    <w:p w:rsidR="00000000" w:rsidDel="00000000" w:rsidP="00000000" w:rsidRDefault="00000000" w:rsidRPr="00000000" w14:paraId="00000021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Artículos de revistas</w:t>
      </w:r>
      <w:r w:rsidDel="00000000" w:rsidR="00000000" w:rsidRPr="00000000">
        <w:rPr>
          <w:vertAlign w:val="baseline"/>
          <w:rtl w:val="0"/>
        </w:rPr>
        <w:t xml:space="preserve"> Aulakh, P., Katobe, M., &amp; Sahay, A. (1996). Trust and performance in cross-border marketing partnerships: A behavioral approach. </w:t>
      </w:r>
      <w:r w:rsidDel="00000000" w:rsidR="00000000" w:rsidRPr="00000000">
        <w:rPr>
          <w:i w:val="1"/>
          <w:vertAlign w:val="baseline"/>
          <w:rtl w:val="0"/>
        </w:rPr>
        <w:t xml:space="preserve">Journal of International Business Studies</w:t>
      </w:r>
      <w:r w:rsidDel="00000000" w:rsidR="00000000" w:rsidRPr="00000000">
        <w:rPr>
          <w:vertAlign w:val="baseline"/>
          <w:rtl w:val="0"/>
        </w:rPr>
        <w:t xml:space="preserve">, 27 (5), 1005-1032.</w:t>
      </w:r>
    </w:p>
    <w:p w:rsidR="00000000" w:rsidDel="00000000" w:rsidP="00000000" w:rsidRDefault="00000000" w:rsidRPr="00000000" w14:paraId="00000022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Libros</w:t>
      </w:r>
      <w:r w:rsidDel="00000000" w:rsidR="00000000" w:rsidRPr="00000000">
        <w:rPr>
          <w:vertAlign w:val="baseline"/>
          <w:rtl w:val="0"/>
        </w:rPr>
        <w:t xml:space="preserve">: Krugman, P. (1995). </w:t>
      </w:r>
      <w:r w:rsidDel="00000000" w:rsidR="00000000" w:rsidRPr="00000000">
        <w:rPr>
          <w:i w:val="1"/>
          <w:vertAlign w:val="baseline"/>
          <w:rtl w:val="0"/>
        </w:rPr>
        <w:t xml:space="preserve">Desarrollo, geografía y teorías </w:t>
      </w:r>
      <w:r w:rsidDel="00000000" w:rsidR="00000000" w:rsidRPr="00000000">
        <w:rPr>
          <w:i w:val="1"/>
          <w:rtl w:val="0"/>
        </w:rPr>
        <w:t xml:space="preserve">económicas</w:t>
      </w:r>
      <w:r w:rsidDel="00000000" w:rsidR="00000000" w:rsidRPr="00000000">
        <w:rPr>
          <w:vertAlign w:val="baseline"/>
          <w:rtl w:val="0"/>
        </w:rPr>
        <w:t xml:space="preserve">. Barcelona: Antoni Bosch S.A.</w:t>
      </w:r>
    </w:p>
    <w:p w:rsidR="00000000" w:rsidDel="00000000" w:rsidP="00000000" w:rsidRDefault="00000000" w:rsidRPr="00000000" w14:paraId="00000023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Capítulo de libro</w:t>
      </w:r>
      <w:r w:rsidDel="00000000" w:rsidR="00000000" w:rsidRPr="00000000">
        <w:rPr>
          <w:vertAlign w:val="baseline"/>
          <w:rtl w:val="0"/>
        </w:rPr>
        <w:t xml:space="preserve">: Janowicz, M., &amp; Noorderhaven, N. (2006). </w:t>
      </w:r>
      <w:r w:rsidDel="00000000" w:rsidR="00000000" w:rsidRPr="00000000">
        <w:rPr>
          <w:i w:val="1"/>
          <w:vertAlign w:val="baseline"/>
          <w:rtl w:val="0"/>
        </w:rPr>
        <w:t xml:space="preserve">Levels of inter-organizational trust: conceptualization and measurement</w:t>
      </w:r>
      <w:r w:rsidDel="00000000" w:rsidR="00000000" w:rsidRPr="00000000">
        <w:rPr>
          <w:vertAlign w:val="baseline"/>
          <w:rtl w:val="0"/>
        </w:rPr>
        <w:t xml:space="preserve">. En R. Bachmann, &amp; A. Zaheer, Handbook of trust research (pp. 364-379). Cheltenham: Edward Elgar.</w:t>
      </w:r>
    </w:p>
    <w:p w:rsidR="00000000" w:rsidDel="00000000" w:rsidP="00000000" w:rsidRDefault="00000000" w:rsidRPr="00000000" w14:paraId="00000024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Memorias</w:t>
      </w:r>
      <w:r w:rsidDel="00000000" w:rsidR="00000000" w:rsidRPr="00000000">
        <w:rPr>
          <w:vertAlign w:val="baseline"/>
          <w:rtl w:val="0"/>
        </w:rPr>
        <w:t xml:space="preserve">: Blodgett, L. (2005). Host-Government policies, political instability and the assessment of country risk in international investment. En Lee, S. Wang, Z., Li, W., The e-global age, new economy, and China: a close up (pp. 300-303). Lincoln: University of Nebraska, USA.</w:t>
      </w:r>
    </w:p>
    <w:p w:rsidR="00000000" w:rsidDel="00000000" w:rsidP="00000000" w:rsidRDefault="00000000" w:rsidRPr="00000000" w14:paraId="00000025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Ponencia en evento</w:t>
      </w:r>
      <w:r w:rsidDel="00000000" w:rsidR="00000000" w:rsidRPr="00000000">
        <w:rPr>
          <w:vertAlign w:val="baseline"/>
          <w:rtl w:val="0"/>
        </w:rPr>
        <w:t xml:space="preserve">: Portales, L., García, C. (2009). </w:t>
      </w:r>
      <w:r w:rsidDel="00000000" w:rsidR="00000000" w:rsidRPr="00000000">
        <w:rPr>
          <w:i w:val="1"/>
          <w:vertAlign w:val="baseline"/>
          <w:rtl w:val="0"/>
        </w:rPr>
        <w:t xml:space="preserve">Capital social: Conceptualización, enfoques y mediciones.</w:t>
      </w:r>
      <w:r w:rsidDel="00000000" w:rsidR="00000000" w:rsidRPr="00000000">
        <w:rPr>
          <w:vertAlign w:val="baseline"/>
          <w:rtl w:val="0"/>
        </w:rPr>
        <w:t xml:space="preserve"> XLIV Asamblea Anual. Consejo Latinoamericano de Escuelas de Administración. Quito, Ecuador.</w:t>
      </w:r>
    </w:p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Tesis:</w:t>
      </w:r>
      <w:r w:rsidDel="00000000" w:rsidR="00000000" w:rsidRPr="00000000">
        <w:rPr>
          <w:vertAlign w:val="baseline"/>
          <w:rtl w:val="0"/>
        </w:rPr>
        <w:t xml:space="preserve"> Bohórquez Buitrago, K. A., &amp; More de Narváez, J. F. (2022). </w:t>
      </w:r>
      <w:r w:rsidDel="00000000" w:rsidR="00000000" w:rsidRPr="00000000">
        <w:rPr>
          <w:i w:val="1"/>
          <w:vertAlign w:val="baseline"/>
          <w:rtl w:val="0"/>
        </w:rPr>
        <w:t xml:space="preserve">Aprendizaje basado en proyectos mediado por las TIC para la creación de sistemas de riego de plantas y alimentación de animales en colegios rurales de Bogotá</w:t>
      </w:r>
      <w:r w:rsidDel="00000000" w:rsidR="00000000" w:rsidRPr="00000000">
        <w:rPr>
          <w:vertAlign w:val="baseline"/>
          <w:rtl w:val="0"/>
        </w:rPr>
        <w:t xml:space="preserve"> [Tesis de pregrado, Universidad Pedagógica Nacional]. </w:t>
      </w:r>
      <w:hyperlink r:id="rId8">
        <w:r w:rsidDel="00000000" w:rsidR="00000000" w:rsidRPr="00000000">
          <w:rPr>
            <w:color w:val="0563c1"/>
            <w:u w:val="single"/>
            <w:vertAlign w:val="baseline"/>
            <w:rtl w:val="0"/>
          </w:rPr>
          <w:t xml:space="preserve">http://repositorio.pedagogica.edu.co/handle/20.500.12209/1999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Sitio web</w:t>
      </w:r>
      <w:r w:rsidDel="00000000" w:rsidR="00000000" w:rsidRPr="00000000">
        <w:rPr>
          <w:vertAlign w:val="baseline"/>
          <w:rtl w:val="0"/>
        </w:rPr>
        <w:t xml:space="preserve">: UNESCO. (2022, 10 de marzo). </w:t>
      </w:r>
      <w:r w:rsidDel="00000000" w:rsidR="00000000" w:rsidRPr="00000000">
        <w:rPr>
          <w:i w:val="1"/>
          <w:vertAlign w:val="baseline"/>
          <w:rtl w:val="0"/>
        </w:rPr>
        <w:t xml:space="preserve">Alfabetización: desafíos y oportunidades después de la COVID-19 para las niñas y las mujeres</w:t>
      </w:r>
      <w:r w:rsidDel="00000000" w:rsidR="00000000" w:rsidRPr="00000000">
        <w:rPr>
          <w:vertAlign w:val="baseline"/>
          <w:rtl w:val="0"/>
        </w:rPr>
        <w:t xml:space="preserve">. Organización de las Naciones Unidas para la Educación, la Ciencia y la Cultura. </w:t>
      </w:r>
      <w:hyperlink r:id="rId9">
        <w:r w:rsidDel="00000000" w:rsidR="00000000" w:rsidRPr="00000000">
          <w:rPr>
            <w:color w:val="0563c1"/>
            <w:u w:val="single"/>
            <w:vertAlign w:val="baseline"/>
            <w:rtl w:val="0"/>
          </w:rPr>
          <w:t xml:space="preserve">https://www.unesco.org/es/articles/alfabetizacion-desafios-y-oportunidades-despues-de-la-covid-19-para-las-ninas-y-las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Videos</w:t>
      </w:r>
      <w:r w:rsidDel="00000000" w:rsidR="00000000" w:rsidRPr="00000000">
        <w:rPr>
          <w:vertAlign w:val="baseline"/>
          <w:rtl w:val="0"/>
        </w:rPr>
        <w:t xml:space="preserve">: CLACSO TV. (2019, 12 de octubre). </w:t>
      </w:r>
      <w:r w:rsidDel="00000000" w:rsidR="00000000" w:rsidRPr="00000000">
        <w:rPr>
          <w:i w:val="1"/>
          <w:vertAlign w:val="baseline"/>
          <w:rtl w:val="0"/>
        </w:rPr>
        <w:t xml:space="preserve">Diálogos - Boaventura de Sousa Santos - Episodio #1</w:t>
      </w:r>
      <w:r w:rsidDel="00000000" w:rsidR="00000000" w:rsidRPr="00000000">
        <w:rPr>
          <w:vertAlign w:val="baseline"/>
          <w:rtl w:val="0"/>
        </w:rPr>
        <w:t xml:space="preserve"> [Video]. YouTube. </w:t>
      </w:r>
      <w:hyperlink r:id="rId10">
        <w:r w:rsidDel="00000000" w:rsidR="00000000" w:rsidRPr="00000000">
          <w:rPr>
            <w:color w:val="0563c1"/>
            <w:u w:val="single"/>
            <w:vertAlign w:val="baseline"/>
            <w:rtl w:val="0"/>
          </w:rPr>
          <w:t xml:space="preserve">https://www.youtube.com/watch?v=1WBXmX9tbAA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color w:val="00b0f0"/>
          <w:vertAlign w:val="baseline"/>
        </w:rPr>
      </w:pPr>
      <w:r w:rsidDel="00000000" w:rsidR="00000000" w:rsidRPr="00000000">
        <w:rPr>
          <w:b w:val="1"/>
          <w:color w:val="00b0f0"/>
          <w:vertAlign w:val="baseline"/>
          <w:rtl w:val="0"/>
        </w:rPr>
        <w:t xml:space="preserve">NOTA</w:t>
      </w:r>
      <w:r w:rsidDel="00000000" w:rsidR="00000000" w:rsidRPr="00000000">
        <w:rPr>
          <w:color w:val="00b0f0"/>
          <w:vertAlign w:val="baseline"/>
          <w:rtl w:val="0"/>
        </w:rPr>
        <w:t xml:space="preserve">: Es importante recordar que la extensión total de la conferencia/ponencia no puede ser superior a 5.000 palabras, incluidas Referencias y Anexos. IMPORTANTE UTILIZAR NORMAS APA.</w:t>
      </w:r>
    </w:p>
    <w:p w:rsidR="00000000" w:rsidDel="00000000" w:rsidP="00000000" w:rsidRDefault="00000000" w:rsidRPr="00000000" w14:paraId="0000002A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RESUMEN DE HOJA DE VIDA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Para cada autor (máximo tres autores), presente la siguiente información, según el caso: Títulos académicos en educación superior, experiencia en investigación, experiencia en docencia, consultoría o administrativa (máximo 100 palabras cada uno).</w:t>
      </w:r>
    </w:p>
    <w:sectPr>
      <w:headerReference r:id="rId11" w:type="default"/>
      <w:headerReference r:id="rId12" w:type="first"/>
      <w:footerReference r:id="rId13" w:type="default"/>
      <w:footerReference r:id="rId14" w:type="first"/>
      <w:pgSz w:h="15840" w:w="12240" w:orient="portrait"/>
      <w:pgMar w:bottom="1418" w:top="3402" w:left="1134" w:right="1134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(1) filiación [datos del lugar/institución donde estudia o labora] (Ciudad, País); (2) grado/semestre que cursa o cargo actual; (3) nombre del grupo de investigación, semillero de investigación u organización/dependencia a la que representa; (4) formación académica; (5) correo electrónico [institucional y personal]; (6) celular [para fines de contacto con la organización del evento].</w:t>
      </w:r>
    </w:p>
  </w:footnote>
  <w:footnote w:id="1"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(1) filiación [datos del lugar/institución donde estudia o labora] (Ciudad, País); (2) grado/semestre que cursa o cargo actual; (3) nombre del grupo de investigación, semillero de investigación u organización/dependencia a la que representa; (4) formación académica; (5) correo electrónico [institucional y personal]; (6) celular [para fines de contacto con la organización del evento].</w:t>
      </w:r>
    </w:p>
  </w:footnote>
  <w:footnote w:id="2"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(1) filiación [datos del lugar/institución donde estudia o labora] (Ciudad, País); (2) grado/semestre que cursa o cargo actual; (3) nombre del grupo de investigación, semillero de investigación u organización/dependencia a la que representa; (4) formación académica; (5) correo electrónico [institucional y personal]; (6) celular [para fines de contacto con la organización del evento].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188.0" w:type="dxa"/>
      <w:jc w:val="center"/>
      <w:tblBorders>
        <w:top w:color="000000" w:space="0" w:sz="0" w:val="nil"/>
        <w:left w:color="000000" w:space="0" w:sz="0" w:val="nil"/>
        <w:bottom w:color="000000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3396"/>
      <w:gridCol w:w="3397"/>
      <w:gridCol w:w="3395"/>
      <w:tblGridChange w:id="0">
        <w:tblGrid>
          <w:gridCol w:w="3396"/>
          <w:gridCol w:w="3397"/>
          <w:gridCol w:w="3395"/>
        </w:tblGrid>
      </w:tblGridChange>
    </w:tblGrid>
    <w:tr>
      <w:trPr>
        <w:cantSplit w:val="0"/>
        <w:trHeight w:val="2130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30">
          <w:pPr>
            <w:tabs>
              <w:tab w:val="center" w:leader="none" w:pos="4419"/>
              <w:tab w:val="right" w:leader="none" w:pos="8838"/>
            </w:tabs>
            <w:spacing w:after="0" w:before="0" w:lineRule="auto"/>
            <w:jc w:val="left"/>
            <w:rPr>
              <w:vertAlign w:val="baseline"/>
            </w:rPr>
          </w:pPr>
          <w:hyperlink r:id="rId1"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1271270" cy="911860"/>
                  <wp:effectExtent b="0" l="0" r="0" t="0"/>
                  <wp:docPr id="103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270" cy="9118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1">
          <w:pPr>
            <w:spacing w:after="0" w:before="0" w:lineRule="auto"/>
            <w:jc w:val="center"/>
            <w:rPr>
              <w:color w:val="c45911"/>
              <w:sz w:val="30"/>
              <w:szCs w:val="30"/>
              <w:vertAlign w:val="baseline"/>
            </w:rPr>
          </w:pPr>
          <w:r w:rsidDel="00000000" w:rsidR="00000000" w:rsidRPr="00000000">
            <w:rPr>
              <w:color w:val="c45911"/>
              <w:sz w:val="30"/>
              <w:szCs w:val="30"/>
              <w:vertAlign w:val="baseline"/>
            </w:rPr>
            <w:drawing>
              <wp:inline distB="0" distT="0" distL="114300" distR="114300">
                <wp:extent cx="1800860" cy="1398905"/>
                <wp:effectExtent b="0" l="0" r="0" t="0"/>
                <wp:docPr id="103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860" cy="13989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spacing w:after="0" w:before="0" w:lineRule="auto"/>
            <w:jc w:val="center"/>
            <w:rPr>
              <w:color w:val="c45911"/>
              <w:sz w:val="30"/>
              <w:szCs w:val="30"/>
              <w:vertAlign w:val="baseline"/>
            </w:rPr>
          </w:pPr>
          <w:r w:rsidDel="00000000" w:rsidR="00000000" w:rsidRPr="00000000">
            <w:rPr>
              <w:color w:val="c45911"/>
              <w:sz w:val="30"/>
              <w:szCs w:val="30"/>
              <w:vertAlign w:val="baseline"/>
              <w:rtl w:val="0"/>
            </w:rPr>
            <w:t xml:space="preserve">2025</w:t>
          </w:r>
        </w:p>
      </w:tc>
      <w:tc>
        <w:tcPr>
          <w:vAlign w:val="center"/>
        </w:tcPr>
        <w:p w:rsidR="00000000" w:rsidDel="00000000" w:rsidP="00000000" w:rsidRDefault="00000000" w:rsidRPr="00000000" w14:paraId="00000033">
          <w:pPr>
            <w:tabs>
              <w:tab w:val="center" w:leader="none" w:pos="4419"/>
              <w:tab w:val="right" w:leader="none" w:pos="8838"/>
            </w:tabs>
            <w:spacing w:after="0" w:before="0" w:lineRule="auto"/>
            <w:jc w:val="right"/>
            <w:rPr>
              <w:vertAlign w:val="baseline"/>
            </w:rPr>
          </w:pPr>
          <w:r w:rsidDel="00000000" w:rsidR="00000000" w:rsidRPr="00000000">
            <w:rPr>
              <w:vertAlign w:val="baseline"/>
            </w:rPr>
            <w:drawing>
              <wp:inline distB="0" distT="0" distL="114300" distR="114300">
                <wp:extent cx="1441450" cy="1511300"/>
                <wp:effectExtent b="0" l="0" r="0" t="0"/>
                <wp:docPr id="103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450" cy="15113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188.0" w:type="dxa"/>
      <w:jc w:val="center"/>
      <w:tblBorders>
        <w:top w:color="000000" w:space="0" w:sz="0" w:val="nil"/>
        <w:left w:color="000000" w:space="0" w:sz="0" w:val="nil"/>
        <w:bottom w:color="000000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3396"/>
      <w:gridCol w:w="3397"/>
      <w:gridCol w:w="3395"/>
      <w:tblGridChange w:id="0">
        <w:tblGrid>
          <w:gridCol w:w="3396"/>
          <w:gridCol w:w="3397"/>
          <w:gridCol w:w="3395"/>
        </w:tblGrid>
      </w:tblGridChange>
    </w:tblGrid>
    <w:tr>
      <w:trPr>
        <w:cantSplit w:val="0"/>
        <w:trHeight w:val="2130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36">
          <w:pPr>
            <w:tabs>
              <w:tab w:val="center" w:leader="none" w:pos="4419"/>
              <w:tab w:val="right" w:leader="none" w:pos="8838"/>
            </w:tabs>
            <w:spacing w:after="0" w:before="0" w:lineRule="auto"/>
            <w:jc w:val="left"/>
            <w:rPr>
              <w:vertAlign w:val="baseline"/>
            </w:rPr>
          </w:pPr>
          <w:hyperlink r:id="rId1"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1271270" cy="911860"/>
                  <wp:effectExtent b="0" l="0" r="0" t="0"/>
                  <wp:docPr id="103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270" cy="9118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7">
          <w:pPr>
            <w:spacing w:after="0" w:before="0" w:lineRule="auto"/>
            <w:jc w:val="center"/>
            <w:rPr>
              <w:color w:val="c45911"/>
              <w:sz w:val="30"/>
              <w:szCs w:val="30"/>
              <w:vertAlign w:val="baseline"/>
            </w:rPr>
          </w:pPr>
          <w:r w:rsidDel="00000000" w:rsidR="00000000" w:rsidRPr="00000000">
            <w:rPr>
              <w:color w:val="c45911"/>
              <w:sz w:val="30"/>
              <w:szCs w:val="30"/>
              <w:vertAlign w:val="baseline"/>
            </w:rPr>
            <w:drawing>
              <wp:inline distB="0" distT="0" distL="114300" distR="114300">
                <wp:extent cx="1800860" cy="1398905"/>
                <wp:effectExtent b="0" l="0" r="0" t="0"/>
                <wp:docPr id="103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860" cy="13989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spacing w:after="0" w:before="0" w:lineRule="auto"/>
            <w:jc w:val="center"/>
            <w:rPr>
              <w:color w:val="c45911"/>
              <w:sz w:val="30"/>
              <w:szCs w:val="30"/>
              <w:vertAlign w:val="baseline"/>
            </w:rPr>
          </w:pPr>
          <w:r w:rsidDel="00000000" w:rsidR="00000000" w:rsidRPr="00000000">
            <w:rPr>
              <w:color w:val="c45911"/>
              <w:sz w:val="30"/>
              <w:szCs w:val="30"/>
              <w:vertAlign w:val="baseline"/>
              <w:rtl w:val="0"/>
            </w:rPr>
            <w:t xml:space="preserve">2025</w:t>
          </w:r>
        </w:p>
      </w:tc>
      <w:tc>
        <w:tcPr>
          <w:vAlign w:val="center"/>
        </w:tcPr>
        <w:p w:rsidR="00000000" w:rsidDel="00000000" w:rsidP="00000000" w:rsidRDefault="00000000" w:rsidRPr="00000000" w14:paraId="00000039">
          <w:pPr>
            <w:tabs>
              <w:tab w:val="center" w:leader="none" w:pos="4419"/>
              <w:tab w:val="right" w:leader="none" w:pos="8838"/>
            </w:tabs>
            <w:spacing w:after="0" w:before="0" w:lineRule="auto"/>
            <w:jc w:val="right"/>
            <w:rPr>
              <w:vertAlign w:val="baseline"/>
            </w:rPr>
          </w:pPr>
          <w:r w:rsidDel="00000000" w:rsidR="00000000" w:rsidRPr="00000000">
            <w:rPr>
              <w:vertAlign w:val="baseline"/>
            </w:rPr>
            <w:drawing>
              <wp:inline distB="0" distT="0" distL="114300" distR="114300">
                <wp:extent cx="1441450" cy="1511300"/>
                <wp:effectExtent b="0" l="0" r="0" t="0"/>
                <wp:docPr id="103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450" cy="15113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CO"/>
      </w:rPr>
    </w:rPrDefault>
    <w:pPrDefault>
      <w:pPr>
        <w:spacing w:after="120" w:before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2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libri Light" w:cs="Times New Roman" w:eastAsia="Times New Roman" w:hAnsi="Calibri Light"/>
      <w:b w:val="1"/>
      <w:bCs w:val="1"/>
      <w:w w:val="100"/>
      <w:kern w:val="32"/>
      <w:position w:val="-1"/>
      <w:sz w:val="28"/>
      <w:szCs w:val="32"/>
      <w:effect w:val="none"/>
      <w:vertAlign w:val="baseline"/>
      <w:cs w:val="0"/>
      <w:em w:val="none"/>
      <w:lang w:bidi="ar-SA" w:eastAsia="en-US" w:val="es-ES"/>
    </w:rPr>
  </w:style>
  <w:style w:type="paragraph" w:styleId="Título2">
    <w:name w:val="Título 2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Calibri Light" w:cs="Times New Roman" w:eastAsia="Times New Roman" w:hAnsi="Calibri Light"/>
      <w:b w:val="1"/>
      <w:bCs w:val="1"/>
      <w:i w:val="1"/>
      <w:iCs w:val="1"/>
      <w:w w:val="100"/>
      <w:position w:val="-1"/>
      <w:sz w:val="24"/>
      <w:szCs w:val="28"/>
      <w:effect w:val="none"/>
      <w:vertAlign w:val="baseline"/>
      <w:cs w:val="0"/>
      <w:em w:val="none"/>
      <w:lang w:bidi="ar-SA" w:eastAsia="en-US" w:val="es-ES"/>
    </w:rPr>
  </w:style>
  <w:style w:type="paragraph" w:styleId="Título4">
    <w:name w:val="Título 4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jc w:val="both"/>
      <w:textDirection w:val="btLr"/>
      <w:textAlignment w:val="top"/>
      <w:outlineLvl w:val="3"/>
    </w:pPr>
    <w:rPr>
      <w:rFonts w:ascii="Aptos" w:cs="Times New Roman" w:eastAsia="Times New Roman" w:hAnsi="Aptos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1"/>
    <w:pPr>
      <w:suppressAutoHyphens w:val="1"/>
      <w:spacing w:after="0" w:before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und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suppressAutoHyphens w:val="1"/>
      <w:spacing w:after="0" w:before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und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val="es-ES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after="120" w:before="120" w:line="1" w:lineRule="atLeast"/>
      <w:ind w:left="720" w:leftChars="-1" w:rightChars="0" w:firstLineChars="-1"/>
      <w:contextualSpacing w:val="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Hipervínculo">
    <w:name w:val="Hipervínculo"/>
    <w:next w:val="Hipervínculo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notapie">
    <w:name w:val="Texto nota pie"/>
    <w:basedOn w:val="Normal"/>
    <w:next w:val="Textonotapie"/>
    <w:autoRedefine w:val="0"/>
    <w:hidden w:val="0"/>
    <w:qFormat w:val="1"/>
    <w:pPr>
      <w:suppressAutoHyphens w:val="1"/>
      <w:spacing w:after="60" w:before="6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18"/>
      <w:szCs w:val="20"/>
      <w:effect w:val="none"/>
      <w:vertAlign w:val="baseline"/>
      <w:cs w:val="0"/>
      <w:em w:val="none"/>
      <w:lang w:bidi="ar-SA" w:eastAsia="und" w:val="es-ES"/>
    </w:rPr>
  </w:style>
  <w:style w:type="character" w:styleId="TextonotapieCar">
    <w:name w:val="Texto nota pie Car"/>
    <w:next w:val="TextonotapieCar"/>
    <w:autoRedefine w:val="0"/>
    <w:hidden w:val="0"/>
    <w:qFormat w:val="0"/>
    <w:rPr>
      <w:rFonts w:ascii="Bookman Old Style" w:cs="Times New Roman" w:hAnsi="Bookman Old Style"/>
      <w:w w:val="100"/>
      <w:position w:val="-1"/>
      <w:sz w:val="18"/>
      <w:effect w:val="none"/>
      <w:vertAlign w:val="baseline"/>
      <w:cs w:val="0"/>
      <w:em w:val="none"/>
      <w:lang w:eastAsia="und" w:val="es-ES"/>
    </w:rPr>
  </w:style>
  <w:style w:type="character" w:styleId="Ref.denotaalpie">
    <w:name w:val="Ref. de nota al pie"/>
    <w:next w:val="Ref.denotaalpie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f.decomentario">
    <w:name w:val="Ref. de comentario"/>
    <w:next w:val="Ref.decomenta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comentario">
    <w:name w:val="Texto comentario"/>
    <w:basedOn w:val="Normal"/>
    <w:next w:val="Textocomentario"/>
    <w:autoRedefine w:val="0"/>
    <w:hidden w:val="0"/>
    <w:qFormat w:val="1"/>
    <w:pPr>
      <w:suppressAutoHyphens w:val="1"/>
      <w:spacing w:after="12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s-ES"/>
    </w:rPr>
  </w:style>
  <w:style w:type="character" w:styleId="TextocomentarioCar">
    <w:name w:val="Texto comentario Car"/>
    <w:next w:val="TextocomentarioCar"/>
    <w:autoRedefine w:val="0"/>
    <w:hidden w:val="0"/>
    <w:qFormat w:val="0"/>
    <w:rPr>
      <w:rFonts w:ascii="Arial" w:hAnsi="Arial"/>
      <w:w w:val="100"/>
      <w:position w:val="-1"/>
      <w:effect w:val="none"/>
      <w:vertAlign w:val="baseline"/>
      <w:cs w:val="0"/>
      <w:em w:val="none"/>
      <w:lang w:eastAsia="en-US" w:val="es-ES"/>
    </w:rPr>
  </w:style>
  <w:style w:type="paragraph" w:styleId="Asuntodelcomentario">
    <w:name w:val="Asunto del comentario"/>
    <w:basedOn w:val="Textocomentario"/>
    <w:next w:val="Textocomentario"/>
    <w:autoRedefine w:val="0"/>
    <w:hidden w:val="0"/>
    <w:qFormat w:val="1"/>
    <w:pPr>
      <w:suppressAutoHyphens w:val="1"/>
      <w:spacing w:after="12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s-ES"/>
    </w:rPr>
  </w:style>
  <w:style w:type="character" w:styleId="AsuntodelcomentarioCar">
    <w:name w:val="Asunto del comentario Car"/>
    <w:next w:val="AsuntodelcomentarioCar"/>
    <w:autoRedefine w:val="0"/>
    <w:hidden w:val="0"/>
    <w:qFormat w:val="0"/>
    <w:rPr>
      <w:rFonts w:ascii="Arial" w:hAnsi="Arial"/>
      <w:b w:val="1"/>
      <w:bCs w:val="1"/>
      <w:w w:val="100"/>
      <w:position w:val="-1"/>
      <w:effect w:val="none"/>
      <w:vertAlign w:val="baseline"/>
      <w:cs w:val="0"/>
      <w:em w:val="none"/>
      <w:lang w:eastAsia="en-US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before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Segoe UI" w:cs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 w:val="es-ES"/>
    </w:rPr>
  </w:style>
  <w:style w:type="character" w:styleId="Hipervínculovisitado">
    <w:name w:val="Hipervínculo visitado"/>
    <w:next w:val="Hipervínculovisitado"/>
    <w:autoRedefine w:val="0"/>
    <w:hidden w:val="0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inespaciado">
    <w:name w:val="Sin espaciado"/>
    <w:next w:val="Sinespaciad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es-ES"/>
    </w:rPr>
  </w:style>
  <w:style w:type="paragraph" w:styleId="Título">
    <w:name w:val="Título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alibri Light" w:cs="Times New Roman" w:eastAsia="Times New Roman" w:hAnsi="Calibri Light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 w:bidi="ar-SA" w:eastAsia="en-US" w:val="es-ES"/>
    </w:rPr>
  </w:style>
  <w:style w:type="character" w:styleId="TítuloCar">
    <w:name w:val="Título Car"/>
    <w:next w:val="TítuloCar"/>
    <w:autoRedefine w:val="0"/>
    <w:hidden w:val="0"/>
    <w:qFormat w:val="0"/>
    <w:rPr>
      <w:rFonts w:ascii="Calibri Light" w:cs="Times New Roman" w:eastAsia="Times New Roman" w:hAnsi="Calibri Light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 w:eastAsia="en-US" w:val="es-ES"/>
    </w:rPr>
  </w:style>
  <w:style w:type="character" w:styleId="Título1Car">
    <w:name w:val="Título 1 Car"/>
    <w:next w:val="Título1Car"/>
    <w:autoRedefine w:val="0"/>
    <w:hidden w:val="0"/>
    <w:qFormat w:val="0"/>
    <w:rPr>
      <w:rFonts w:ascii="Calibri Light" w:cs="Times New Roman" w:eastAsia="Times New Roman" w:hAnsi="Calibri Light"/>
      <w:b w:val="1"/>
      <w:bCs w:val="1"/>
      <w:w w:val="100"/>
      <w:kern w:val="32"/>
      <w:position w:val="-1"/>
      <w:sz w:val="28"/>
      <w:szCs w:val="32"/>
      <w:effect w:val="none"/>
      <w:vertAlign w:val="baseline"/>
      <w:cs w:val="0"/>
      <w:em w:val="none"/>
      <w:lang w:eastAsia="en-US" w:val="es-ES"/>
    </w:rPr>
  </w:style>
  <w:style w:type="character" w:styleId="Título2Car">
    <w:name w:val="Título 2 Car"/>
    <w:next w:val="Título2Car"/>
    <w:autoRedefine w:val="0"/>
    <w:hidden w:val="0"/>
    <w:qFormat w:val="0"/>
    <w:rPr>
      <w:rFonts w:ascii="Calibri Light" w:cs="Times New Roman" w:eastAsia="Times New Roman" w:hAnsi="Calibri Light"/>
      <w:b w:val="1"/>
      <w:bCs w:val="1"/>
      <w:i w:val="1"/>
      <w:iCs w:val="1"/>
      <w:w w:val="100"/>
      <w:position w:val="-1"/>
      <w:sz w:val="24"/>
      <w:szCs w:val="28"/>
      <w:effect w:val="none"/>
      <w:vertAlign w:val="baseline"/>
      <w:cs w:val="0"/>
      <w:em w:val="none"/>
      <w:lang w:eastAsia="en-US" w:val="es-ES"/>
    </w:rPr>
  </w:style>
  <w:style w:type="character" w:styleId="Menciónsinresolver">
    <w:name w:val="Mención sin resolver"/>
    <w:next w:val="Menciónsinresolver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Título4Car">
    <w:name w:val="Título 4 Car"/>
    <w:next w:val="Título4Car"/>
    <w:autoRedefine w:val="0"/>
    <w:hidden w:val="0"/>
    <w:qFormat w:val="0"/>
    <w:rPr>
      <w:rFonts w:ascii="Aptos" w:cs="Times New Roman" w:eastAsia="Times New Roman" w:hAnsi="Aptos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yperlink" Target="https://www.youtube.com/watch?v=1WBXmX9tbAA" TargetMode="Externa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unesco.org/es/articles/alfabetizacion-desafios-y-oportunidades-despues-de-la-covid-19-para-las-ninas-y-las" TargetMode="External"/><Relationship Id="rId1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://repositorio.pedagogica.edu.co/handle/20.500.12209/1999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pedagogica.edu.co/" TargetMode="External"/><Relationship Id="rId2" Type="http://schemas.openxmlformats.org/officeDocument/2006/relationships/image" Target="media/image2.png"/><Relationship Id="rId3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pedagogica.edu.co/" TargetMode="External"/><Relationship Id="rId2" Type="http://schemas.openxmlformats.org/officeDocument/2006/relationships/image" Target="media/image2.png"/><Relationship Id="rId3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wX7J9uuTCEny7vy1RgFUgG8CYQ==">CgMxLjA4AHIhMU9KX2xkZUgwN1NlelpCQUw3eWRJWWJtMEFGYmRfc0tm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2021-01-20T15:36:00Z</dcterms:created>
  <dc:creator>Asus Latin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